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C1A" w:rsidRPr="00A71C1A" w:rsidRDefault="00A71C1A" w:rsidP="00A71C1A">
      <w:pPr>
        <w:pStyle w:val="ConsPlusNonformat"/>
        <w:ind w:left="4922"/>
        <w:jc w:val="both"/>
        <w:rPr>
          <w:rFonts w:ascii="Times New Roman" w:eastAsia="Calibri" w:hAnsi="Times New Roman" w:cs="Times New Roman"/>
          <w:color w:val="000000" w:themeColor="text1"/>
          <w:sz w:val="30"/>
          <w:szCs w:val="30"/>
        </w:rPr>
      </w:pPr>
      <w:bookmarkStart w:id="0" w:name="_GoBack"/>
      <w:bookmarkEnd w:id="0"/>
      <w:r w:rsidRPr="00A71C1A">
        <w:rPr>
          <w:rFonts w:ascii="Times New Roman" w:eastAsia="Calibri" w:hAnsi="Times New Roman" w:cs="Times New Roman"/>
          <w:color w:val="000000" w:themeColor="text1"/>
          <w:sz w:val="30"/>
          <w:szCs w:val="30"/>
        </w:rPr>
        <w:t>УТВЕРЖДЕНО</w:t>
      </w:r>
    </w:p>
    <w:p w:rsidR="00A71C1A" w:rsidRPr="00A71C1A" w:rsidRDefault="00A71C1A" w:rsidP="00A71C1A">
      <w:pPr>
        <w:pStyle w:val="ConsPlusNonformat"/>
        <w:ind w:left="4922"/>
        <w:jc w:val="both"/>
        <w:rPr>
          <w:rFonts w:ascii="Times New Roman" w:eastAsia="Calibri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eastAsia="Calibri" w:hAnsi="Times New Roman" w:cs="Times New Roman"/>
          <w:color w:val="000000" w:themeColor="text1"/>
          <w:sz w:val="30"/>
          <w:szCs w:val="30"/>
        </w:rPr>
        <w:t>Постановление Совета Министров</w:t>
      </w:r>
    </w:p>
    <w:p w:rsidR="00A71C1A" w:rsidRPr="00A71C1A" w:rsidRDefault="00A71C1A" w:rsidP="00A71C1A">
      <w:pPr>
        <w:pStyle w:val="ConsPlusNonformat"/>
        <w:ind w:left="4922"/>
        <w:jc w:val="both"/>
        <w:rPr>
          <w:rFonts w:ascii="Times New Roman" w:eastAsia="Calibri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eastAsia="Calibri" w:hAnsi="Times New Roman" w:cs="Times New Roman"/>
          <w:color w:val="000000" w:themeColor="text1"/>
          <w:sz w:val="30"/>
          <w:szCs w:val="30"/>
        </w:rPr>
        <w:t>Республики Беларусь</w:t>
      </w:r>
    </w:p>
    <w:p w:rsidR="00A71C1A" w:rsidRPr="00A71C1A" w:rsidRDefault="00A71C1A" w:rsidP="00A71C1A">
      <w:pPr>
        <w:pStyle w:val="ConsPlusNonformat"/>
        <w:ind w:left="4922"/>
        <w:jc w:val="both"/>
        <w:rPr>
          <w:rFonts w:ascii="Times New Roman" w:eastAsia="Calibri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eastAsia="Calibri" w:hAnsi="Times New Roman" w:cs="Times New Roman"/>
          <w:color w:val="000000" w:themeColor="text1"/>
          <w:sz w:val="30"/>
          <w:szCs w:val="30"/>
        </w:rPr>
        <w:t>16.08.2012 № 756</w:t>
      </w:r>
    </w:p>
    <w:p w:rsidR="00A71C1A" w:rsidRPr="00A71C1A" w:rsidRDefault="00A71C1A" w:rsidP="00A71C1A">
      <w:pPr>
        <w:pStyle w:val="ConsPlusNormal"/>
        <w:ind w:left="4922"/>
        <w:jc w:val="both"/>
        <w:rPr>
          <w:color w:val="000000" w:themeColor="text1"/>
        </w:rPr>
      </w:pPr>
      <w:proofErr w:type="gramStart"/>
      <w:r w:rsidRPr="00A71C1A">
        <w:rPr>
          <w:color w:val="000000" w:themeColor="text1"/>
        </w:rPr>
        <w:t>(в редакции постановления Совета Министров Республики Беларусь</w:t>
      </w:r>
      <w:proofErr w:type="gramEnd"/>
    </w:p>
    <w:p w:rsidR="00A71C1A" w:rsidRPr="00A71C1A" w:rsidRDefault="00A71C1A" w:rsidP="00A71C1A">
      <w:pPr>
        <w:pStyle w:val="ConsPlusNormal"/>
        <w:ind w:left="4922"/>
        <w:jc w:val="both"/>
        <w:rPr>
          <w:color w:val="000000" w:themeColor="text1"/>
        </w:rPr>
      </w:pPr>
      <w:r w:rsidRPr="00A71C1A">
        <w:rPr>
          <w:color w:val="000000" w:themeColor="text1"/>
        </w:rPr>
        <w:t>31.01.2018 № 87</w:t>
      </w:r>
      <w:r w:rsidRPr="00A71C1A">
        <w:rPr>
          <w:color w:val="000000" w:themeColor="text1"/>
        </w:rPr>
        <w:t>, изм. пост.</w:t>
      </w:r>
      <w:proofErr w:type="gramStart"/>
      <w:r w:rsidRPr="00A71C1A">
        <w:rPr>
          <w:color w:val="000000" w:themeColor="text1"/>
        </w:rPr>
        <w:t xml:space="preserve"> </w:t>
      </w:r>
      <w:proofErr w:type="gramEnd"/>
      <w:r w:rsidRPr="00A71C1A">
        <w:rPr>
          <w:color w:val="000000" w:themeColor="text1"/>
        </w:rPr>
        <w:t>Совета Министров Республики Беларусь</w:t>
      </w:r>
    </w:p>
    <w:p w:rsidR="00A71C1A" w:rsidRPr="00A71C1A" w:rsidRDefault="00A71C1A" w:rsidP="00A71C1A">
      <w:pPr>
        <w:pStyle w:val="ConsPlusNormal"/>
        <w:ind w:left="4962" w:hanging="6"/>
        <w:jc w:val="both"/>
        <w:rPr>
          <w:color w:val="000000" w:themeColor="text1"/>
        </w:rPr>
      </w:pPr>
      <w:r w:rsidRPr="00A71C1A">
        <w:rPr>
          <w:color w:val="000000" w:themeColor="text1"/>
        </w:rPr>
        <w:t xml:space="preserve">от </w:t>
      </w:r>
      <w:r w:rsidRPr="00A71C1A">
        <w:rPr>
          <w:color w:val="000000" w:themeColor="text1"/>
        </w:rPr>
        <w:t>3</w:t>
      </w:r>
      <w:r w:rsidRPr="00A71C1A">
        <w:rPr>
          <w:color w:val="000000" w:themeColor="text1"/>
        </w:rPr>
        <w:t>0</w:t>
      </w:r>
      <w:r w:rsidRPr="00A71C1A">
        <w:rPr>
          <w:color w:val="000000" w:themeColor="text1"/>
        </w:rPr>
        <w:t>.0</w:t>
      </w:r>
      <w:r w:rsidRPr="00A71C1A">
        <w:rPr>
          <w:color w:val="000000" w:themeColor="text1"/>
        </w:rPr>
        <w:t>4</w:t>
      </w:r>
      <w:r w:rsidRPr="00A71C1A">
        <w:rPr>
          <w:color w:val="000000" w:themeColor="text1"/>
        </w:rPr>
        <w:t>.201</w:t>
      </w:r>
      <w:r w:rsidRPr="00A71C1A">
        <w:rPr>
          <w:color w:val="000000" w:themeColor="text1"/>
        </w:rPr>
        <w:t>9</w:t>
      </w:r>
      <w:r w:rsidRPr="00A71C1A">
        <w:rPr>
          <w:color w:val="000000" w:themeColor="text1"/>
        </w:rPr>
        <w:t xml:space="preserve"> № </w:t>
      </w:r>
      <w:r w:rsidRPr="00A71C1A">
        <w:rPr>
          <w:color w:val="000000" w:themeColor="text1"/>
        </w:rPr>
        <w:t xml:space="preserve">269, от </w:t>
      </w:r>
      <w:r w:rsidRPr="00A71C1A">
        <w:rPr>
          <w:color w:val="000000" w:themeColor="text1"/>
        </w:rPr>
        <w:t xml:space="preserve">18.03.2020 </w:t>
      </w:r>
    </w:p>
    <w:p w:rsidR="00A71C1A" w:rsidRPr="00A71C1A" w:rsidRDefault="00A71C1A" w:rsidP="00A71C1A">
      <w:pPr>
        <w:pStyle w:val="ConsPlusNormal"/>
        <w:ind w:left="4962" w:hanging="6"/>
        <w:jc w:val="both"/>
        <w:rPr>
          <w:color w:val="000000" w:themeColor="text1"/>
        </w:rPr>
      </w:pPr>
      <w:hyperlink r:id="rId7" w:history="1">
        <w:r w:rsidRPr="00A71C1A">
          <w:rPr>
            <w:color w:val="000000" w:themeColor="text1"/>
          </w:rPr>
          <w:t>№</w:t>
        </w:r>
        <w:r w:rsidRPr="00A71C1A">
          <w:rPr>
            <w:color w:val="000000" w:themeColor="text1"/>
          </w:rPr>
          <w:t xml:space="preserve"> 154</w:t>
        </w:r>
      </w:hyperlink>
      <w:r w:rsidRPr="00A71C1A">
        <w:rPr>
          <w:color w:val="000000" w:themeColor="text1"/>
        </w:rPr>
        <w:t>)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ПОЛОЖЕНИЕ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О КИТАЙСКО-БЕЛОРУССКОМ ИНДУСТРИАЛЬНОМ ПАРКЕ "ВЕЛИКИЙ КАМЕНЬ"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ГЛАВА 1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ОБЩИЕ ПОЛОЖЕНИЯ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1.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Настоящим Положением определяются основания для лишения и утраты юридическими лицами статуса резидентов Китайско-Белорусского индустриального парка "Великий камень" (далее - индустриальный парк), содержание и процедура осуществления государственным учреждением "Администрация Китайско-Белорусского индустриального парка "Великий камень" (далее - администрация парка) функций по принципу "одна станция", а также порядок участия администрации парка в управлении совместной белорусско-китайской компанией по развитию индустриального парка (далее - совместная компания).</w:t>
      </w:r>
      <w:proofErr w:type="gramEnd"/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Для целей настоящего Положения применяются термины и их определения в значениях, определенных </w:t>
      </w:r>
      <w:hyperlink r:id="rId8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Законом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Республики Беларусь от 28 октября 2008 г. </w:t>
      </w:r>
      <w:r>
        <w:rPr>
          <w:rFonts w:ascii="Times New Roman" w:hAnsi="Times New Roman" w:cs="Times New Roman"/>
          <w:color w:val="000000" w:themeColor="text1"/>
          <w:sz w:val="30"/>
          <w:szCs w:val="30"/>
        </w:rPr>
        <w:t>№</w:t>
      </w: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433-З "Об основах административных процедур", </w:t>
      </w:r>
      <w:hyperlink r:id="rId9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Положением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о специальном правовом режиме Китайско-Белорусского индустриального парка "Великий камень", утвержденным Указом Президента Республики Беларусь от 12 мая 2017 г. </w:t>
      </w:r>
      <w:r>
        <w:rPr>
          <w:rFonts w:ascii="Times New Roman" w:hAnsi="Times New Roman" w:cs="Times New Roman"/>
          <w:color w:val="000000" w:themeColor="text1"/>
          <w:sz w:val="30"/>
          <w:szCs w:val="30"/>
        </w:rPr>
        <w:t>№</w:t>
      </w: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166, а также следующие термины и их определения:</w:t>
      </w:r>
      <w:proofErr w:type="gramEnd"/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разрешение - предусмотренное законодательством, основанное на обращении заявителя подтверждение компетентным органом права этого лица на осуществление определенной деятельности или определенных действий, в том числе посредством включения в реестр, выдачи официального документа (лицензии, согласования, заключения, аттестата, свидетельства, сертификата и другого);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разрешительные процедуры - совокупность процедур, реализуемых компетентными органами в соответствии с законодательством, связанных </w:t>
      </w: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с выдачей и переоформлением разрешений и их дубликатов, прекращением, приостановлением и возобновлением либо продлением срока действия, лишением (аннулированием) разрешений, отказом в выдаче разрешений, а также рассмотрением жалоб по таким вопросам;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иные процедуры (услуги) - процедуры (услуги), не связанные с разрешительными и носящие организационно-технический характер, в том числе информирование, консультирование, представительство в государственных органах и иных организациях, услуги по предоставлению в аренду капитальных строений (зданий, сооружений), изолированных помещений, расчетам, совершаемые (оказываемые) администрацией парка, государственными органами, иными организациями.</w:t>
      </w:r>
      <w:proofErr w:type="gramEnd"/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ГЛАВА 2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ЛИШЕНИЕ И УТРАТА СТАТУСА РЕЗИДЕНТА ИНДУСТРИАЛЬНОГО ПАРКА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bookmarkStart w:id="1" w:name="Par28"/>
      <w:bookmarkEnd w:id="1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2. Основаниями для лишения статуса резидента индустриального парка являются: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заявление резидента индустриального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невыполнение либо ненадлежащее выполнение резидентом индустриального парка обязательств в соответствии с законодательством и договором об условиях деятельности в индустриальном парке;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bookmarkStart w:id="2" w:name="Par31"/>
      <w:bookmarkEnd w:id="2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несоблюдение резидентом индустриального парка условий, предусмотренных в </w:t>
      </w:r>
      <w:hyperlink r:id="rId10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пункте 7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Положения о специальном правовом режиме Китайско-Белорусского индустриального парка "Великий камень".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3. Решение о лишении статуса резидента индустриального парка принимается администрацией парка в течение одного месяца со дня возникновения оснований, указанных в </w:t>
      </w:r>
      <w:hyperlink w:anchor="Par28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пункте 2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настоящего Положения, и может быть обжаловано в судебном порядке.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4.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При лишении статуса резидента индустриального парка в связи с несоблюдением условий, предусмотренных в </w:t>
      </w:r>
      <w:hyperlink r:id="rId11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пункте 7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Положения о специальном правовом режиме Китайско-Белорусского индустриального парка "Великий камень", юридическое лицо утрачивает право на льготы, установленные в Положении о специальном правовом режиме Китайско-Белорусского индустриального парка "Великий камень", с 1 января года, в котором не соблюдены условия.</w:t>
      </w:r>
      <w:proofErr w:type="gramEnd"/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5. Утрата статуса резидента индустриального парка осуществляется в случае: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ликвидации юридического лица, зарегистрированного в качестве резидента индустриального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реорганизации юридического лица, зарегистрированного в качестве резидента индустриального парка, в форме слияния, разделения, присоединения его к другому юридическому лицу;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прекращения действия договора об условиях деятельности в индустриальном парке. При этом юридическое лицо утрачивает статус резидента индустриального парка со дня прекращения действия такого договора;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изменения места нахождения юридического лица, зарегистрированного в качестве резидента индустриального парка, если его новое место нахождения расположено вне территории индустриального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исключения из границ индустриального парка территории с местом нахождения этого юридического лица;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ликвидации индустриального парка.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6.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Администрация парка в течение одного рабочего дня со дня принятия решения о лишении статуса резидента индустриального парка вносит соответствующую запись в реестр резидентов индустриального парка и в течение трех рабочих дней письменно уведомляет об этом юридическое лицо, а также органы государственной статистики, Фонда социальной защиты населения Министерства труда и социальной защиты, инспекцию Министерства по налогам и сборам по месту постановки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на учет юридического лица, ранее зарегистрированного в качестве резидента индустриального парка, таможенный орган, в регионе деятельности которого находится индустриальный парк, с указанием даты и оснований принятого решения, а в случае лишения статуса резидента индустриального парка по основанию, указанному в </w:t>
      </w:r>
      <w:hyperlink w:anchor="Par31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абзаце четвертом пункта 2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настоящего Положения, - также года, в котором юридическим лицом не соблюдены условия, предусмотренные в </w:t>
      </w:r>
      <w:hyperlink r:id="rId12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пункте 7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Положения о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специальном правовом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режиме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Китайско-Белорусского индустриального парка "Великий камень".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При утрате статуса резидента индустриального парка администрация парка в течение одного рабочего дня вносит соответствующую запись в реестр резидентов индустриального парка и в трехдневный срок письменно информирует об этом органы государственной статистики, Фонда социальной защиты населения Министерства труда и социальной защиты, инспекцию Министерства по налогам и сборам по месту постановки на учет юридического лица, ранее зарегистрированного в качестве резидента индустриального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парка, таможенный орган, в регионе деятельности которого находится индустриальный парк, с указанием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даты утраты статуса резидента индустриального парка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Лишение либо утрата статуса резидента индустриального парка являются основанием для прекращения действия договора об условиях деятельности в индустриальном парке.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7. В случае лишения либо утраты статуса резидента индустриального парка юридическое лицо обязано в течение пяти рабочих дней со дня лишения либо утраты статуса резидента индустриального парка возвратить свидетельство о регистрации резидента индустриального парка (его дубликат) в администрацию парка.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ГЛАВА 3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ОСОБЕННОСТИ ОСУЩЕСТВЛЕНИЯ В ИНДУСТРИАЛЬНОМ ПАРКЕ АДМИНИСТРАТИВНЫХ, РАЗРЕШИТЕЛЬНЫХ И ИНЫХ ПРОЦЕДУР (УСЛУГ) ПО ПРИНЦИПУ "ОДНА СТАНЦИЯ" И ВЗАИМОДЕЙСТВИЯ АДМИНИСТРАЦИИ ПАРКА С ГОСУДАРСТВЕННЫМИ ОРГАНАМИ, ИНЫМИ ОРГАНИЗАЦИЯМИ ПРИ ИХ ОСУЩЕСТВЛЕНИИ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8.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В целях обеспечения комплексного обслуживания по принципу "одна станция" резидентов и инвесторов индустриального парка, совместной компании, участников строительства объектов индустриального парка, иных субъектов хозяйствования, зарегистрированных на территории индустриального парка, административные, разрешительные и иные процедуры (услуги) (далее - административные и иные процедуры) по их обращениям осуществляются администрацией парка либо государственными органами, иными организациями, к компетенции которых относится осуществление административных и иных процедур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(далее, если не предусмотрено иное, - государственные органы, иные организации), с учетом особенностей, установленных настоящим Положением.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9. Комплексное обслуживание по принципу "одна станция" не распространяется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на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субъектов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хозяйствования, не имеющих статуса инвестора индустриального парка или участника строительства объектов индустриального парка и находящихся на территории населенных пунктов (их частей), расположенных в границах индустриального парка, а также на садоводческие товарищества, дачные кооперативы.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10. Комплексное обслуживание по принципу "одна станция" включает следующую деятельность администрации парка непосредственно по месту ее нахождения в индустриальном парке: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10.1. совершение по обращениям резидентов и инвесторов индустриального парка, совместной компании, участников строительства объектов индустриального парка, иных субъектов хозяйствования, зарегистрированных на территории индустриального парка (далее - </w:t>
      </w: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субъекты хозяйствования), предусмотренных законодательством административных и иных процедур, относящихся к компетенции администрации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10.2. обеспечение совершения по обращениям субъектов хозяйствования предусмотренных законодательством административных и иных процедур, входящих в компетенцию государственных органов, иных организаций и осуществляемых с привлечением их работников;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10.3. координация работы государственных органов, иных организаций в целях обеспечения осуществления административных и иных процедур в индустриальном парке.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11. Для осуществления административной и иной процедуры по принципу "одна станция" субъект хозяйствования обращается в администрацию парка. Администрация парка предоставляет информацию о перечне документов (сведений), установленных в соответствии с законодательством для осуществления административной и иной процедуры (далее - документы).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12. Административные и иные процедуры, относящиеся к компетенции администрации парка, осуществляются работниками администрации парка.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13. Административные и иные процедуры, относящиеся к компетенции государственных органов, иных организаций, осуществляются по месту нахождения администрации парка работниками государственного органа, иной организации, если они осуществляются в индустриальном парке на постоянной основе. Соответствующее решение государственного органа, иной организации принимается по обращению администрации парка.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14. Администрация парка обеспечивает условия, необходимые для осуществления в индустриальном парке административных и иных процедур работниками государственных органов, иных организаций, согласовывает режим работы данных работников в индустриальном парке.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15.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Для осуществления административных и иных процедур, относящихся к компетенции государственных органов, иных организаций, если такие процедуры не осуществляются в индустриальном парке на постоянной основе, администрация парка не позднее одного рабочего дня, следующего за днем обращения субъекта хозяйствования, обеспечивает присутствие работника государственного органа, иной организации, уполномоченного для осуществления такой процедуры, в согласованный с субъектом хозяйствования срок по месту нахождения администрации парка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для приема документов (в том числе в электронной форме), консультирования и осуществления соответствующей процедуры.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Государственный орган, иная организация после представления им всех необходимых документов осуществляют административную и иную процедуру в сроки, установленные законодательством.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Субъект хозяйствования вправе обратиться за совершением административной и иной процедуры непосредственно в государственный орган, иную организацию.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ГЛАВА 4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КОМПЕТЕНЦИЯ АДМИНИСТРАЦИИ ПАРКА ПРИ ОСУЩЕСТВЛЕНИИ АДМИНИСТРАТИВНЫХ И ИНЫХ ПРОЦЕДУР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16. Администрация парка: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организует осуществление административных и иных процедур на территории индустриального парка по принципу "одна станция";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доводит до сведения государственных органов, иных организаций и заявителей информацию о порядке осуществления административных и иных процедур в индустриальном парке;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определяет режим работы по осуществлению на территории индустриального парка административных и иных процедур по принципу "одна станция";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осуществляет в соответствии с законодательством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контроль за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работой государственных органов, иных организаций, осуществляющих административные и иные процедуры в индустриальном парке, взаимодействием их с субъектами хозяйствования, сроками и качеством осуществляемых административных и иных процедур;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размещает на сайте индустриального парка в глобальной компьютерной сети Интернет информацию о наименованиях административных и иных процедур, осуществляемых по принципу "одна станция", порядке их осуществления, представляемых сведениях и документах, иную информацию, предусмотренную законодательством;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анализирует практику осуществления административных и иных процедур, подготавливает предложения о внесении изменений в нормативные правовые акты по вопросам осуществления административных и иных процедур;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принимает обязательные для выполнения государственными органами, иными организациями решения об осуществлении ими по месту нахождения администрации парка предусмотренных законодательством административных и иных процедур.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17. Администрация парка при осуществлении административных и иных процедур по принципу "одна станция" обязана: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обеспечивать присутствие своих уполномоченных работников по месту нахождения администрации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обеспечивать контроль качества и соблюдения сроков осуществления административных и иных процедур государственными органами, иными организациями;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осуществлять консультирование по вопросам осуществления административных и иных процедур по принципу "одна станция";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обеспечивать доброжелательное, вежливое и внимательное отношение работников администрации парка к субъектам хозяйствования;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обеспечивать своевременное и надлежащее выполнение функций временно отсутствующих работников, осуществляющих прием субъектов хозяйствования, другими работниками администрации парка.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ГЛАВА 5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КОМПЕТЕНЦИЯ ГОСУДАРСТВЕННЫХ ОРГАНОВ, ИНЫХ ОРГАНИЗАЦИЙ ПРИ ОСУЩЕСТВЛЕНИИ АДМИНИСТРАТИВНЫХ И ИНЫХ ПРОЦЕДУР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18. Государственные органы, иные организации при осуществлении административных и иных процедур в индустриальном парке по принципу "одна станция":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разъясняют субъектам хозяйствования обязанность государственных органов, иных организаций самостоятельно запрашивать документы и (или) сведения, необходимые для осуществления административных процедур, за исключением тех, которые включены в перечни документов и (или) сведений, представляемых субъектами хозяйствования, а также права и обязанности субъектов хозяйствования;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бесплатно предоставляют субъектам хозяйствования предусмотренные законодательством об административных процедурах формы (бланки) документов, необходимых для обращения за осуществлением административных процедур, и разъясняют порядок их заполнения и представления;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запрашивают от других государственных органов, иных организаций документы и (или) сведения, необходимые для осуществления административных процедур;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предоставляют субъектам хозяйствования возможность знакомиться с материалами, связанными с рассмотрением их заявлений;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уведомляют субъектов хозяйствования о принятых решениях;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разъясняют субъектам хозяйствования порядок и сроки обжалования принятых решений;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осуществляют другие полномочия, предусмотренные законодательством и настоящим Положением.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19. Государственные органы, иные организации обязаны: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обеспечивать присутствие своих уполномоченных работников по месту нахождения администрации парка в соответствии с режимом, определенным администрацией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обеспечивать доброжелательное, вежливое и внимательное отношение работников к субъектам хозяйствования;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обеспечивать своевременное и надлежащее выполнение функций временно отсутствующих работников, осуществляющих прием субъектов хозяйствования, другими работниками этих органов.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ГЛАВА 6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b/>
          <w:bCs/>
          <w:color w:val="000000" w:themeColor="text1"/>
          <w:sz w:val="30"/>
          <w:szCs w:val="30"/>
        </w:rPr>
        <w:t>ПОРЯДОК УЧАСТИЯ В УПРАВЛЕНИИ СОВМЕСТНОЙ КОМПАНИЕЙ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30"/>
          <w:szCs w:val="30"/>
        </w:rPr>
      </w:pP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20. Участие от имени владельца акций, находящихся в собственности Республики Беларусь и оперативном управлении администрации парка, в управлении совместной компанией осуществляется через представителя акционера в органах управления совместной компании (далее - представитель акционера).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21. Представитель акционера выполняет свои полномочия на основании трудового договора (контракта) по основному месту работы.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22. Передача полномочий на участие в работе общего собрания акционеров совместной компании иным лицам не допускается.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23. Кандидатуры, предлагаемые к избранию в совет директоров и ревизионную комиссию совместной компании, определяются представителем акционера в соответствии с уставом совместной компании и акционерным соглашением.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24. Представитель акционера обязан: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участвовать в работе органов управления совместной компании;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принимать меры по защите экономических интересов Республики Беларусь при осуществлении деятельности совместной компании, обеспечению развития и эффективного функционирования индустриального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осуществлять </w:t>
      </w:r>
      <w:proofErr w:type="gramStart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контроль за</w:t>
      </w:r>
      <w:proofErr w:type="gramEnd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сроками и полнотой перечисления дивидендов, начисленных на акции, находящиеся в оперативном управлении администрации парка;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соблюдать требования устава совместной компании и локальных правовых актов совместной компании;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не разглашать конфиденциальную информацию о деятельности совместной компании, не допускать иных действий, которые могут нанести ущерб совместной компании.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bookmarkStart w:id="3" w:name="Par113"/>
      <w:bookmarkEnd w:id="3"/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lastRenderedPageBreak/>
        <w:t>25. Представитель акционера вправе голосовать только в соответствии с позицией, определенной Советом Министров Республики Беларусь, по следующим вопросам, выносимым на рассмотрение органов управления совместной компании: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изменение размера уставного фонда совместной компании;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приобретение акций (долей в уставных фондах) совместной компании и иных хозяйственных обществ;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реорганизация совместной компании;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ликвидация совместной компании, за исключением случаев, когда решение о ликвидации принято регистрирующим органом или судом в соответствии с законодательными актами.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26. Администрация парка в установленном законодательством порядке вносит в Совет Министров Республики Беларусь проект постановления Совета Министров Республики Беларусь о позиции представителя акционера по вопросам, указанным в </w:t>
      </w:r>
      <w:hyperlink w:anchor="Par113" w:history="1">
        <w:r w:rsidRPr="00A71C1A">
          <w:rPr>
            <w:rFonts w:ascii="Times New Roman" w:hAnsi="Times New Roman" w:cs="Times New Roman"/>
            <w:color w:val="000000" w:themeColor="text1"/>
            <w:sz w:val="30"/>
            <w:szCs w:val="30"/>
          </w:rPr>
          <w:t>пункте 25</w:t>
        </w:r>
      </w:hyperlink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настоящего Положения, не позднее 20 календарных дней до даты проведения общего собрания акционеров, заседания совета директоров совместной компании.</w:t>
      </w:r>
    </w:p>
    <w:p w:rsidR="00A71C1A" w:rsidRPr="00A71C1A" w:rsidRDefault="00A71C1A" w:rsidP="00A71C1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30"/>
          <w:szCs w:val="30"/>
        </w:rPr>
      </w:pPr>
      <w:r w:rsidRPr="00A71C1A">
        <w:rPr>
          <w:rFonts w:ascii="Times New Roman" w:hAnsi="Times New Roman" w:cs="Times New Roman"/>
          <w:color w:val="000000" w:themeColor="text1"/>
          <w:sz w:val="30"/>
          <w:szCs w:val="30"/>
        </w:rPr>
        <w:t>К проекту постановления прилагается подписанное представителем акционера обоснование его позиции.</w:t>
      </w:r>
    </w:p>
    <w:p w:rsidR="000151A0" w:rsidRPr="00A71C1A" w:rsidRDefault="000151A0" w:rsidP="00A71C1A">
      <w:pPr>
        <w:spacing w:after="0" w:line="240" w:lineRule="auto"/>
        <w:rPr>
          <w:color w:val="000000" w:themeColor="text1"/>
        </w:rPr>
      </w:pPr>
    </w:p>
    <w:sectPr w:rsidR="000151A0" w:rsidRPr="00A71C1A" w:rsidSect="00A71C1A">
      <w:headerReference w:type="default" r:id="rId13"/>
      <w:pgSz w:w="11905" w:h="16838"/>
      <w:pgMar w:top="1134" w:right="565" w:bottom="1134" w:left="1701" w:header="0" w:footer="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5AF" w:rsidRDefault="00B735AF" w:rsidP="00A71C1A">
      <w:pPr>
        <w:spacing w:after="0" w:line="240" w:lineRule="auto"/>
      </w:pPr>
      <w:r>
        <w:separator/>
      </w:r>
    </w:p>
  </w:endnote>
  <w:endnote w:type="continuationSeparator" w:id="0">
    <w:p w:rsidR="00B735AF" w:rsidRDefault="00B735AF" w:rsidP="00A71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5AF" w:rsidRDefault="00B735AF" w:rsidP="00A71C1A">
      <w:pPr>
        <w:spacing w:after="0" w:line="240" w:lineRule="auto"/>
      </w:pPr>
      <w:r>
        <w:separator/>
      </w:r>
    </w:p>
  </w:footnote>
  <w:footnote w:type="continuationSeparator" w:id="0">
    <w:p w:rsidR="00B735AF" w:rsidRDefault="00B735AF" w:rsidP="00A71C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1231636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A71C1A" w:rsidRDefault="00A71C1A">
        <w:pPr>
          <w:pStyle w:val="a3"/>
          <w:jc w:val="center"/>
        </w:pPr>
      </w:p>
      <w:p w:rsidR="00A71C1A" w:rsidRPr="00A71C1A" w:rsidRDefault="00A71C1A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A71C1A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71C1A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A71C1A"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A71C1A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C1A"/>
    <w:rsid w:val="000151A0"/>
    <w:rsid w:val="00A71C1A"/>
    <w:rsid w:val="00B73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1C1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paragraph" w:customStyle="1" w:styleId="ConsPlusNonformat">
    <w:name w:val="ConsPlusNonformat"/>
    <w:rsid w:val="00A71C1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7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71C1A"/>
  </w:style>
  <w:style w:type="paragraph" w:styleId="a5">
    <w:name w:val="footer"/>
    <w:basedOn w:val="a"/>
    <w:link w:val="a6"/>
    <w:uiPriority w:val="99"/>
    <w:unhideWhenUsed/>
    <w:rsid w:val="00A7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1C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71C1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30"/>
      <w:szCs w:val="30"/>
      <w:lang w:eastAsia="ru-RU"/>
    </w:rPr>
  </w:style>
  <w:style w:type="paragraph" w:customStyle="1" w:styleId="ConsPlusNonformat">
    <w:name w:val="ConsPlusNonformat"/>
    <w:rsid w:val="00A71C1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A7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71C1A"/>
  </w:style>
  <w:style w:type="paragraph" w:styleId="a5">
    <w:name w:val="footer"/>
    <w:basedOn w:val="a"/>
    <w:link w:val="a6"/>
    <w:uiPriority w:val="99"/>
    <w:unhideWhenUsed/>
    <w:rsid w:val="00A71C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71C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959A2D6B1194ABF18D46C688167ECAB79E1751E22AEE5F2550C06636A24324B9EAJ6T2H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959A2D6B1194ABF18D46C688167ECAB79E1751E22AE25D2551C56636A24324B9EA62E2EA3DE344B60CE19288J4TCH" TargetMode="External"/><Relationship Id="rId12" Type="http://schemas.openxmlformats.org/officeDocument/2006/relationships/hyperlink" Target="consultantplus://offline/ref=11959A2D6B1194ABF18D46C688167ECAB79E1751E22AE35A2455C46636A24324B9EA62E2EA3DE344B60CE19280J4T8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11959A2D6B1194ABF18D46C688167ECAB79E1751E22AE35A2455C46636A24324B9EA62E2EA3DE344B60CE19280J4T8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11959A2D6B1194ABF18D46C688167ECAB79E1751E22AE35A2455C46636A24324B9EA62E2EA3DE344B60CE19280J4T8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1959A2D6B1194ABF18D46C688167ECAB79E1751E22AE35A2455C46636A24324B9EA62E2EA3DE344B60CE1928DJ4T0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2810</Words>
  <Characters>16017</Characters>
  <Application>Microsoft Office Word</Application>
  <DocSecurity>0</DocSecurity>
  <Lines>133</Lines>
  <Paragraphs>37</Paragraphs>
  <ScaleCrop>false</ScaleCrop>
  <Company/>
  <LinksUpToDate>false</LinksUpToDate>
  <CharactersWithSpaces>18790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Денис Владимирович Бурак</dc:creator>
  <cp:lastModifiedBy>Денис Владимирович Бурак</cp:lastModifiedBy>
  <cp:revision>1</cp:revision>
  <dcterms:created xsi:type="dcterms:W3CDTF">2021-04-28T07:19:00Z</dcterms:created>
  <dcterms:modified xsi:type="dcterms:W3CDTF">2021-04-28T07:27:00Z</dcterms:modified>
</cp:coreProperties>
</file>